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наглядные плоскостные (плакаты, карты настенные, иллюстрации настенные, магнитные доски);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демонстрационные ( муляжи, макеты, стенды, модели демонстрационные)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печатные (учебные пособия, книги для чтения, хрестоматии, рабочие тетради, раздаточный материал и т.д.);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аудиовизуальные (слайды);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900" w:before="0" w:beforeAutospacing="0" w:line="377.14285714285717" w:lineRule="auto"/>
        <w:ind w:left="1020" w:hanging="360"/>
        <w:rPr>
          <w:color w:val="555555"/>
        </w:rPr>
      </w:pPr>
      <w:r w:rsidDel="00000000" w:rsidR="00000000" w:rsidRPr="00000000">
        <w:rPr>
          <w:color w:val="555555"/>
          <w:rtl w:val="0"/>
        </w:rPr>
        <w:t xml:space="preserve">спортивные снаряды, мячи и т.п.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4454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